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stycznia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stycznia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uchylenia uchwały nr XVIII/161/2019 Rady Miejskiej w Ogrodzieńcu z dnia 29 października 2019r. w sprawie wyznaczenia inkasentów oraz ustalenia wysokości wynagrodzenia dla inkasentów za pobór podatków od osób fizycznych z tytułu łącznego zobowiązania pieniężnego, podatku od nieruchomości, podatku rolnego oraz podatku leśnego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ze zm. poz. 1309, 1571, 1696,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1256, ze zm. poz. 1309),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leśnym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888, ze zm.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1170, ze zm.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Ordynacja podatkowa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Ogrodzieńcu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co następuje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 XVIII/161/2019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Ogrodzieńcu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wyznaczenia inkasentów oraz ustalenia wysokości wynagrodzenia dla inkasentów za pobór podatków od osób fizycznych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łącznego zobowiązania pieniężnego, podatku od nieruchomości, podatku rolnego oraz podatku leśnego.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Ogrodzieniec.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ogłoszenia w Dzienniku Urzędowym Województwa Śląskiego.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Janoska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9B8E1AB5-9EFF-4C35-AFDA-C2DF1EF9DAD9.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stycznia 2020 r.</dc:title>
  <dc:subject>w sprawie uchylenia uchwały nr XVIII/161/2019 Rady Miejskiej w^Ogrodzieńcu z^dnia 29^października 2019r. w^sprawie wyznaczenia inkasentów oraz ustalenia wysokości wynagrodzenia dla inkasentów za pobór podatków od osób fizycznych z^tytułu łącznego zobowiązania pieniężnego, podatku od nieruchomości, podatku rolnego oraz podatku leśnego</dc:subject>
  <dc:creator>Rafał Szlachta</dc:creator>
  <cp:lastModifiedBy>Rafał Szlachta</cp:lastModifiedBy>
  <cp:revision>1</cp:revision>
  <dcterms:created xsi:type="dcterms:W3CDTF">2020-01-21T16:25:06Z</dcterms:created>
  <dcterms:modified xsi:type="dcterms:W3CDTF">2020-01-21T16:25:06Z</dcterms:modified>
  <cp:category>Akt prawny</cp:category>
</cp:coreProperties>
</file>